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numPr>
          <w:ilvl w:val="0"/>
          <w:numId w:val="1"/>
        </w:numPr>
        <w:spacing w:before="480" w:after="0"/>
        <w:rPr/>
      </w:pPr>
      <w:r>
        <w:rPr/>
        <w:t>Chapter 3 Answers for the online resources</w:t>
      </w:r>
    </w:p>
    <w:p>
      <w:pPr>
        <w:pStyle w:val="Normal"/>
        <w:rPr/>
      </w:pPr>
      <w:r>
        <w:rPr/>
      </w:r>
    </w:p>
    <w:p>
      <w:pPr>
        <w:pStyle w:val="Normal"/>
        <w:ind w:left="1418" w:right="0" w:hanging="1418"/>
        <w:rPr>
          <w:rFonts w:ascii="Calibri" w:hAnsi="Calibri"/>
          <w:sz w:val="22"/>
          <w:szCs w:val="22"/>
        </w:rPr>
      </w:pPr>
      <w:r>
        <w:rPr>
          <w:rFonts w:ascii="Calibri" w:hAnsi="Calibri"/>
          <w:b/>
          <w:sz w:val="22"/>
          <w:szCs w:val="22"/>
        </w:rPr>
        <w:t>Question 3</w:t>
      </w:r>
      <w:r>
        <w:rPr>
          <w:rFonts w:ascii="Calibri" w:hAnsi="Calibri"/>
          <w:sz w:val="22"/>
          <w:szCs w:val="22"/>
        </w:rPr>
        <w:tab/>
        <w:t>With reference to the Paris Tours example in this chapter, calculate the profit at 18,000 tours. At this level of operation what proportion of total costs are variable and what proportion are fixed and what is the implications of this for the business orientation.</w:t>
      </w:r>
    </w:p>
    <w:p>
      <w:pPr>
        <w:pStyle w:val="Normal"/>
        <w:rPr>
          <w:rFonts w:ascii="Calibri" w:hAnsi="Calibri"/>
          <w:sz w:val="22"/>
          <w:szCs w:val="22"/>
        </w:rPr>
      </w:pPr>
      <w:r>
        <w:rPr>
          <w:rFonts w:ascii="Calibri" w:hAnsi="Calibri"/>
          <w:sz w:val="22"/>
          <w:szCs w:val="22"/>
        </w:rPr>
      </w:r>
    </w:p>
    <w:p>
      <w:pPr>
        <w:pStyle w:val="Normal"/>
        <w:ind w:left="1418" w:right="0" w:hanging="1418"/>
        <w:rPr>
          <w:rFonts w:ascii="Calibri" w:hAnsi="Calibri"/>
          <w:sz w:val="22"/>
          <w:szCs w:val="22"/>
        </w:rPr>
      </w:pPr>
      <w:r>
        <w:rPr>
          <w:rFonts w:ascii="Calibri" w:hAnsi="Calibri"/>
          <w:b/>
          <w:sz w:val="22"/>
          <w:szCs w:val="22"/>
        </w:rPr>
        <w:t>Question 4</w:t>
      </w:r>
      <w:r>
        <w:rPr>
          <w:rFonts w:ascii="Calibri" w:hAnsi="Calibri"/>
          <w:sz w:val="22"/>
          <w:szCs w:val="22"/>
        </w:rPr>
        <w:tab/>
        <w:t>Using the data from Paris Tours calculate the operational gearing (cost structure %) for the company at 16,000 tours. What happens to operational gearing as the business grows, what are the implications for risk?</w:t>
      </w:r>
    </w:p>
    <w:p>
      <w:pPr>
        <w:pStyle w:val="Normal"/>
        <w:ind w:left="1418" w:right="0" w:hanging="1418"/>
        <w:rPr>
          <w:rFonts w:ascii="Calibri" w:hAnsi="Calibri"/>
          <w:sz w:val="22"/>
          <w:szCs w:val="22"/>
        </w:rPr>
      </w:pPr>
      <w:r>
        <w:rPr>
          <w:rFonts w:ascii="Calibri" w:hAnsi="Calibri"/>
          <w:sz w:val="22"/>
          <w:szCs w:val="22"/>
        </w:rPr>
      </w:r>
    </w:p>
    <w:p>
      <w:pPr>
        <w:pStyle w:val="Normal"/>
        <w:ind w:left="1418" w:right="0" w:hanging="1418"/>
        <w:rPr>
          <w:rFonts w:ascii="Calibri" w:hAnsi="Calibri"/>
          <w:sz w:val="22"/>
          <w:szCs w:val="22"/>
        </w:rPr>
      </w:pPr>
      <w:r>
        <w:rPr>
          <w:rFonts w:ascii="Calibri" w:hAnsi="Calibri"/>
          <w:sz w:val="22"/>
          <w:szCs w:val="22"/>
        </w:rPr>
      </w:r>
    </w:p>
    <w:p>
      <w:pPr>
        <w:pStyle w:val="Heading1"/>
        <w:ind w:left="432" w:right="0" w:hanging="0"/>
        <w:rPr/>
      </w:pPr>
      <w:r>
        <w:rPr/>
      </w:r>
    </w:p>
    <w:p>
      <w:pPr>
        <w:pStyle w:val="Normal"/>
        <w:rPr/>
      </w:pPr>
      <w:r>
        <w:rPr/>
      </w:r>
    </w:p>
    <w:p>
      <w:pPr>
        <w:pStyle w:val="Heading1"/>
        <w:numPr>
          <w:ilvl w:val="0"/>
          <w:numId w:val="1"/>
        </w:numPr>
        <w:rPr/>
      </w:pPr>
      <w:r>
        <w:rPr/>
        <w:t>Chapter 11 Answers for the online resources</w:t>
      </w:r>
    </w:p>
    <w:p>
      <w:pPr>
        <w:pStyle w:val="Normal"/>
        <w:rPr/>
      </w:pPr>
      <w:r>
        <w:rPr/>
      </w:r>
    </w:p>
    <w:p>
      <w:pPr>
        <w:pStyle w:val="Normal"/>
        <w:rPr>
          <w:rFonts w:ascii="Calibri" w:hAnsi="Calibri"/>
          <w:sz w:val="22"/>
          <w:szCs w:val="22"/>
        </w:rPr>
      </w:pPr>
      <w:r>
        <w:rPr>
          <w:rFonts w:ascii="Calibri" w:hAnsi="Calibri"/>
          <w:sz w:val="22"/>
          <w:szCs w:val="22"/>
        </w:rPr>
      </w:r>
    </w:p>
    <w:p>
      <w:pPr>
        <w:pStyle w:val="Normal"/>
        <w:rPr>
          <w:rFonts w:ascii="Calibri" w:hAnsi="Calibri"/>
          <w:b/>
          <w:sz w:val="22"/>
          <w:szCs w:val="22"/>
        </w:rPr>
      </w:pPr>
      <w:r>
        <w:rPr>
          <w:rFonts w:ascii="Calibri" w:hAnsi="Calibri"/>
          <w:b/>
          <w:sz w:val="22"/>
          <w:szCs w:val="22"/>
        </w:rPr>
        <w:t xml:space="preserve">Question 3 </w:t>
      </w:r>
    </w:p>
    <w:p>
      <w:pPr>
        <w:pStyle w:val="ListParagraph"/>
        <w:numPr>
          <w:ilvl w:val="0"/>
          <w:numId w:val="2"/>
        </w:numPr>
        <w:rPr>
          <w:rFonts w:ascii="Calibri" w:hAnsi="Calibri"/>
          <w:sz w:val="22"/>
          <w:szCs w:val="22"/>
        </w:rPr>
      </w:pPr>
      <w:r>
        <w:rPr>
          <w:rFonts w:ascii="Calibri" w:hAnsi="Calibri"/>
          <w:sz w:val="22"/>
          <w:szCs w:val="22"/>
        </w:rPr>
        <w:t>Calculate the cash operating cycle for this hospitality business for 2012 and 2011</w:t>
      </w:r>
    </w:p>
    <w:p>
      <w:pPr>
        <w:pStyle w:val="ListParagraph"/>
        <w:numPr>
          <w:ilvl w:val="0"/>
          <w:numId w:val="2"/>
        </w:numPr>
        <w:rPr>
          <w:rFonts w:ascii="Calibri" w:hAnsi="Calibri"/>
          <w:sz w:val="22"/>
          <w:szCs w:val="22"/>
        </w:rPr>
      </w:pPr>
      <w:r>
        <w:rPr>
          <w:rFonts w:ascii="Calibri" w:hAnsi="Calibri"/>
          <w:sz w:val="22"/>
          <w:szCs w:val="22"/>
        </w:rPr>
        <w:t>The company recently employed a new Head of Finance Department, from the changes you observe, do you think this was a good decision?</w:t>
      </w:r>
    </w:p>
    <w:p>
      <w:pPr>
        <w:pStyle w:val="Normal"/>
        <w:rPr>
          <w:rFonts w:ascii="Calibri" w:hAnsi="Calibri"/>
          <w:sz w:val="22"/>
          <w:szCs w:val="22"/>
        </w:rPr>
      </w:pPr>
      <w:r>
        <w:rPr>
          <w:rFonts w:ascii="Calibri" w:hAnsi="Calibri"/>
          <w:sz w:val="22"/>
          <w:szCs w:val="22"/>
        </w:rPr>
      </w:r>
    </w:p>
    <w:tbl>
      <w:tblPr>
        <w:jc w:val="center"/>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801"/>
        <w:gridCol w:w="1275"/>
        <w:gridCol w:w="1135"/>
      </w:tblGrid>
      <w:tr>
        <w:trPr>
          <w:trHeight w:val="213" w:hRule="atLeast"/>
          <w:cantSplit w:val="false"/>
        </w:trPr>
        <w:tc>
          <w:tcPr>
            <w:tcW w:w="2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b/>
                <w:sz w:val="22"/>
                <w:szCs w:val="22"/>
              </w:rPr>
            </w:pPr>
            <w:r>
              <w:rPr>
                <w:rFonts w:ascii="Calibri" w:hAnsi="Calibri"/>
                <w:b/>
                <w:sz w:val="22"/>
                <w:szCs w:val="22"/>
              </w:rPr>
              <w:t>2012</w:t>
            </w:r>
          </w:p>
        </w:tc>
        <w:tc>
          <w:tcPr>
            <w:tcW w:w="11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b/>
                <w:sz w:val="22"/>
                <w:szCs w:val="22"/>
              </w:rPr>
            </w:pPr>
            <w:r>
              <w:rPr>
                <w:rFonts w:ascii="Calibri" w:hAnsi="Calibri"/>
                <w:b/>
                <w:sz w:val="22"/>
                <w:szCs w:val="22"/>
              </w:rPr>
              <w:t>2011</w:t>
            </w:r>
          </w:p>
        </w:tc>
      </w:tr>
      <w:tr>
        <w:trPr>
          <w:trHeight w:val="224" w:hRule="atLeast"/>
          <w:cantSplit w:val="false"/>
        </w:trPr>
        <w:tc>
          <w:tcPr>
            <w:tcW w:w="2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 xml:space="preserve">Sales </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w:t>
            </w:r>
            <w:r>
              <w:rPr>
                <w:rFonts w:ascii="Calibri" w:hAnsi="Calibri"/>
                <w:sz w:val="22"/>
                <w:szCs w:val="22"/>
              </w:rPr>
              <w:t>13,544</w:t>
            </w:r>
          </w:p>
        </w:tc>
        <w:tc>
          <w:tcPr>
            <w:tcW w:w="11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w:t>
            </w:r>
            <w:r>
              <w:rPr>
                <w:rFonts w:ascii="Calibri" w:hAnsi="Calibri"/>
                <w:sz w:val="22"/>
                <w:szCs w:val="22"/>
              </w:rPr>
              <w:t>13,544</w:t>
            </w:r>
          </w:p>
        </w:tc>
      </w:tr>
      <w:tr>
        <w:trPr>
          <w:trHeight w:val="213" w:hRule="atLeast"/>
          <w:cantSplit w:val="false"/>
        </w:trPr>
        <w:tc>
          <w:tcPr>
            <w:tcW w:w="2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 Sales on Credit</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18%</w:t>
            </w:r>
          </w:p>
        </w:tc>
        <w:tc>
          <w:tcPr>
            <w:tcW w:w="11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21%</w:t>
            </w:r>
          </w:p>
        </w:tc>
      </w:tr>
      <w:tr>
        <w:trPr>
          <w:trHeight w:val="224" w:hRule="atLeast"/>
          <w:cantSplit w:val="false"/>
        </w:trPr>
        <w:tc>
          <w:tcPr>
            <w:tcW w:w="2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Cost of sales %</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40%</w:t>
            </w:r>
          </w:p>
        </w:tc>
        <w:tc>
          <w:tcPr>
            <w:tcW w:w="11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40%</w:t>
            </w:r>
          </w:p>
        </w:tc>
      </w:tr>
      <w:tr>
        <w:trPr>
          <w:trHeight w:val="224" w:hRule="atLeast"/>
          <w:cantSplit w:val="false"/>
        </w:trPr>
        <w:tc>
          <w:tcPr>
            <w:tcW w:w="2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Closing stock figure</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w:t>
            </w:r>
            <w:r>
              <w:rPr>
                <w:rFonts w:ascii="Calibri" w:hAnsi="Calibri"/>
                <w:sz w:val="22"/>
                <w:szCs w:val="22"/>
              </w:rPr>
              <w:t>12,772</w:t>
            </w:r>
          </w:p>
        </w:tc>
        <w:tc>
          <w:tcPr>
            <w:tcW w:w="11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w:t>
            </w:r>
            <w:r>
              <w:rPr>
                <w:rFonts w:ascii="Calibri" w:hAnsi="Calibri"/>
                <w:sz w:val="22"/>
                <w:szCs w:val="22"/>
              </w:rPr>
              <w:t>13,544</w:t>
            </w:r>
          </w:p>
        </w:tc>
      </w:tr>
      <w:tr>
        <w:trPr>
          <w:trHeight w:val="224" w:hRule="atLeast"/>
          <w:cantSplit w:val="false"/>
        </w:trPr>
        <w:tc>
          <w:tcPr>
            <w:tcW w:w="2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 xml:space="preserve">Debtors </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w:t>
            </w:r>
            <w:r>
              <w:rPr>
                <w:rFonts w:ascii="Calibri" w:hAnsi="Calibri"/>
                <w:sz w:val="22"/>
                <w:szCs w:val="22"/>
              </w:rPr>
              <w:t>20,452</w:t>
            </w:r>
          </w:p>
        </w:tc>
        <w:tc>
          <w:tcPr>
            <w:tcW w:w="11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w:t>
            </w:r>
            <w:r>
              <w:rPr>
                <w:rFonts w:ascii="Calibri" w:hAnsi="Calibri"/>
                <w:sz w:val="22"/>
                <w:szCs w:val="22"/>
              </w:rPr>
              <w:t>29,751</w:t>
            </w:r>
          </w:p>
        </w:tc>
      </w:tr>
      <w:tr>
        <w:trPr>
          <w:trHeight w:val="235" w:hRule="atLeast"/>
          <w:cantSplit w:val="false"/>
        </w:trPr>
        <w:tc>
          <w:tcPr>
            <w:tcW w:w="280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Creditors</w:t>
            </w:r>
          </w:p>
        </w:tc>
        <w:tc>
          <w:tcPr>
            <w:tcW w:w="12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w:t>
            </w:r>
            <w:r>
              <w:rPr>
                <w:rFonts w:ascii="Calibri" w:hAnsi="Calibri"/>
                <w:sz w:val="22"/>
                <w:szCs w:val="22"/>
              </w:rPr>
              <w:t>49,635</w:t>
            </w:r>
          </w:p>
        </w:tc>
        <w:tc>
          <w:tcPr>
            <w:tcW w:w="113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w:t>
            </w:r>
            <w:r>
              <w:rPr>
                <w:rFonts w:ascii="Calibri" w:hAnsi="Calibri"/>
                <w:sz w:val="22"/>
                <w:szCs w:val="22"/>
              </w:rPr>
              <w:t>47,769</w:t>
            </w:r>
          </w:p>
        </w:tc>
      </w:tr>
      <w:tr>
        <w:trPr>
          <w:trHeight w:val="235" w:hRule="atLeast"/>
          <w:cantSplit w:val="false"/>
        </w:trPr>
        <w:tc>
          <w:tcPr>
            <w:tcW w:w="521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both"/>
              <w:rPr>
                <w:rFonts w:ascii="Calibri" w:hAnsi="Calibri"/>
                <w:sz w:val="22"/>
                <w:szCs w:val="22"/>
              </w:rPr>
            </w:pPr>
            <w:r>
              <w:rPr>
                <w:rFonts w:ascii="Calibri" w:hAnsi="Calibri"/>
                <w:sz w:val="22"/>
                <w:szCs w:val="22"/>
              </w:rPr>
              <w:t xml:space="preserve"> </w:t>
            </w:r>
            <w:r>
              <w:rPr>
                <w:rFonts w:ascii="Calibri" w:hAnsi="Calibri"/>
                <w:sz w:val="22"/>
                <w:szCs w:val="22"/>
              </w:rPr>
              <w:t>NB - Closing Stock from 2010 = €12,997</w:t>
            </w:r>
          </w:p>
        </w:tc>
      </w:tr>
    </w:tbl>
    <w:p>
      <w:pPr>
        <w:pStyle w:val="Normal"/>
        <w:rPr/>
      </w:pPr>
      <w:r>
        <w:rPr/>
      </w:r>
    </w:p>
    <w:p>
      <w:pPr>
        <w:pStyle w:val="Normal"/>
        <w:rPr>
          <w:rFonts w:ascii="Calibri" w:hAnsi="Calibri"/>
          <w:b/>
          <w:sz w:val="22"/>
          <w:szCs w:val="22"/>
        </w:rPr>
      </w:pPr>
      <w:r>
        <w:rPr>
          <w:rFonts w:ascii="Calibri" w:hAnsi="Calibri"/>
          <w:b/>
          <w:sz w:val="22"/>
          <w:szCs w:val="22"/>
        </w:rPr>
        <w:t>Question 3 Answer</w:t>
      </w:r>
    </w:p>
    <w:p>
      <w:pPr>
        <w:pStyle w:val="Normal"/>
        <w:rPr>
          <w:rFonts w:ascii="Calibri" w:hAnsi="Calibri"/>
          <w:sz w:val="22"/>
          <w:szCs w:val="22"/>
        </w:rPr>
      </w:pPr>
      <w:r>
        <w:rPr>
          <w:rFonts w:ascii="Calibri" w:hAnsi="Calibri"/>
          <w:sz w:val="22"/>
          <w:szCs w:val="22"/>
        </w:rPr>
        <w:t xml:space="preserve">a) </w:t>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2551"/>
        <w:gridCol w:w="1924"/>
        <w:gridCol w:w="910"/>
        <w:gridCol w:w="1984"/>
        <w:gridCol w:w="999"/>
      </w:tblGrid>
      <w:tr>
        <w:trPr>
          <w:trHeight w:val="216" w:hRule="atLeast"/>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0"/>
                <w:szCs w:val="22"/>
              </w:rPr>
            </w:pPr>
            <w:r>
              <w:rPr>
                <w:rFonts w:ascii="Calibri" w:hAnsi="Calibri"/>
                <w:sz w:val="22"/>
                <w:szCs w:val="22"/>
              </w:rPr>
              <w:t xml:space="preserve">Ratios </w:t>
            </w:r>
            <w:r>
              <w:rPr>
                <w:rFonts w:ascii="Calibri" w:hAnsi="Calibri"/>
                <w:sz w:val="20"/>
                <w:szCs w:val="22"/>
              </w:rPr>
              <w:t>(shown in days)</w:t>
            </w:r>
          </w:p>
        </w:tc>
        <w:tc>
          <w:tcPr>
            <w:tcW w:w="19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b/>
                <w:sz w:val="22"/>
                <w:szCs w:val="22"/>
              </w:rPr>
            </w:pPr>
            <w:r>
              <w:rPr>
                <w:rFonts w:ascii="Calibri" w:hAnsi="Calibri"/>
                <w:b/>
                <w:sz w:val="22"/>
                <w:szCs w:val="22"/>
              </w:rPr>
            </w:r>
          </w:p>
        </w:tc>
        <w:tc>
          <w:tcPr>
            <w:tcW w:w="9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Calibri" w:hAnsi="Calibri"/>
                <w:b/>
                <w:sz w:val="22"/>
                <w:szCs w:val="22"/>
              </w:rPr>
            </w:pPr>
            <w:r>
              <w:rPr>
                <w:rFonts w:ascii="Calibri" w:hAnsi="Calibri"/>
                <w:b/>
                <w:sz w:val="22"/>
                <w:szCs w:val="22"/>
              </w:rPr>
              <w:t>2012</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Calibri" w:hAnsi="Calibri"/>
                <w:b/>
                <w:sz w:val="22"/>
                <w:szCs w:val="22"/>
              </w:rPr>
            </w:pPr>
            <w:r>
              <w:rPr>
                <w:rFonts w:ascii="Calibri" w:hAnsi="Calibri"/>
                <w:b/>
                <w:sz w:val="22"/>
                <w:szCs w:val="22"/>
              </w:rPr>
            </w:r>
          </w:p>
        </w:tc>
        <w:tc>
          <w:tcPr>
            <w:tcW w:w="9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Calibri" w:hAnsi="Calibri"/>
                <w:b/>
                <w:sz w:val="22"/>
                <w:szCs w:val="22"/>
              </w:rPr>
            </w:pPr>
            <w:r>
              <w:rPr>
                <w:rFonts w:ascii="Calibri" w:hAnsi="Calibri"/>
                <w:b/>
                <w:sz w:val="22"/>
                <w:szCs w:val="22"/>
              </w:rPr>
              <w:t>2011</w:t>
            </w:r>
          </w:p>
        </w:tc>
      </w:tr>
      <w:tr>
        <w:trPr>
          <w:trHeight w:val="227" w:hRule="atLeast"/>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Stock Turnover</w:t>
            </w:r>
          </w:p>
        </w:tc>
        <w:tc>
          <w:tcPr>
            <w:tcW w:w="19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18"/>
                <w:szCs w:val="18"/>
              </w:rPr>
            </w:pPr>
            <w:r>
              <w:rPr>
                <w:rFonts w:ascii="Calibri" w:hAnsi="Calibri"/>
                <w:sz w:val="18"/>
                <w:szCs w:val="18"/>
              </w:rPr>
              <w:t>13,158 ÷ 518,400 x 365</w:t>
            </w:r>
          </w:p>
        </w:tc>
        <w:tc>
          <w:tcPr>
            <w:tcW w:w="9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Calibri" w:hAnsi="Calibri"/>
                <w:sz w:val="22"/>
                <w:szCs w:val="22"/>
              </w:rPr>
            </w:pPr>
            <w:r>
              <w:rPr>
                <w:rFonts w:ascii="Calibri" w:hAnsi="Calibri"/>
                <w:sz w:val="22"/>
                <w:szCs w:val="22"/>
              </w:rPr>
              <w:t>9.26</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18"/>
                <w:szCs w:val="18"/>
              </w:rPr>
            </w:pPr>
            <w:r>
              <w:rPr>
                <w:rFonts w:ascii="Calibri" w:hAnsi="Calibri"/>
                <w:sz w:val="18"/>
                <w:szCs w:val="18"/>
              </w:rPr>
              <w:t>13,270.5 ÷ 544,320 x 365</w:t>
            </w:r>
          </w:p>
        </w:tc>
        <w:tc>
          <w:tcPr>
            <w:tcW w:w="9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Calibri" w:hAnsi="Calibri"/>
                <w:sz w:val="22"/>
                <w:szCs w:val="22"/>
              </w:rPr>
            </w:pPr>
            <w:r>
              <w:rPr>
                <w:rFonts w:ascii="Calibri" w:hAnsi="Calibri"/>
                <w:sz w:val="22"/>
                <w:szCs w:val="22"/>
              </w:rPr>
              <w:t>8.9</w:t>
            </w:r>
          </w:p>
        </w:tc>
      </w:tr>
      <w:tr>
        <w:trPr>
          <w:trHeight w:val="216" w:hRule="atLeast"/>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Debtor Collection Period</w:t>
            </w:r>
          </w:p>
        </w:tc>
        <w:tc>
          <w:tcPr>
            <w:tcW w:w="19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18"/>
                <w:szCs w:val="18"/>
              </w:rPr>
            </w:pPr>
            <w:r>
              <w:rPr>
                <w:rFonts w:ascii="Calibri" w:hAnsi="Calibri"/>
                <w:sz w:val="18"/>
                <w:szCs w:val="18"/>
              </w:rPr>
              <w:t>20,452 ÷ 233,280 x 365</w:t>
            </w:r>
          </w:p>
        </w:tc>
        <w:tc>
          <w:tcPr>
            <w:tcW w:w="9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Calibri" w:hAnsi="Calibri"/>
                <w:sz w:val="22"/>
                <w:szCs w:val="22"/>
              </w:rPr>
            </w:pPr>
            <w:r>
              <w:rPr>
                <w:rFonts w:ascii="Calibri" w:hAnsi="Calibri"/>
                <w:sz w:val="22"/>
                <w:szCs w:val="22"/>
              </w:rPr>
              <w:t>32.0</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18"/>
                <w:szCs w:val="18"/>
              </w:rPr>
            </w:pPr>
            <w:r>
              <w:rPr>
                <w:rFonts w:ascii="Calibri" w:hAnsi="Calibri"/>
                <w:sz w:val="18"/>
                <w:szCs w:val="18"/>
              </w:rPr>
              <w:t>29,751 ÷ 285,768 x 365</w:t>
            </w:r>
          </w:p>
        </w:tc>
        <w:tc>
          <w:tcPr>
            <w:tcW w:w="9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Calibri" w:hAnsi="Calibri"/>
                <w:sz w:val="22"/>
                <w:szCs w:val="22"/>
              </w:rPr>
            </w:pPr>
            <w:r>
              <w:rPr>
                <w:rFonts w:ascii="Calibri" w:hAnsi="Calibri"/>
                <w:sz w:val="22"/>
                <w:szCs w:val="22"/>
              </w:rPr>
              <w:t>38 .0</w:t>
            </w:r>
          </w:p>
        </w:tc>
      </w:tr>
      <w:tr>
        <w:trPr>
          <w:trHeight w:val="227" w:hRule="atLeast"/>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Creditor Payment Period</w:t>
            </w:r>
          </w:p>
        </w:tc>
        <w:tc>
          <w:tcPr>
            <w:tcW w:w="19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18"/>
                <w:szCs w:val="18"/>
              </w:rPr>
            </w:pPr>
            <w:r>
              <w:rPr>
                <w:rFonts w:ascii="Calibri" w:hAnsi="Calibri"/>
                <w:sz w:val="18"/>
                <w:szCs w:val="18"/>
              </w:rPr>
              <w:t>49,635 ÷ 517,628 x 365</w:t>
            </w:r>
          </w:p>
        </w:tc>
        <w:tc>
          <w:tcPr>
            <w:tcW w:w="9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Calibri" w:hAnsi="Calibri"/>
                <w:sz w:val="22"/>
                <w:szCs w:val="22"/>
              </w:rPr>
            </w:pPr>
            <w:r>
              <w:rPr>
                <w:rFonts w:ascii="Calibri" w:hAnsi="Calibri"/>
                <w:sz w:val="22"/>
                <w:szCs w:val="22"/>
              </w:rPr>
              <w:t>35.0</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18"/>
                <w:szCs w:val="18"/>
              </w:rPr>
            </w:pPr>
            <w:r>
              <w:rPr>
                <w:rFonts w:ascii="Calibri" w:hAnsi="Calibri"/>
                <w:sz w:val="18"/>
                <w:szCs w:val="18"/>
              </w:rPr>
              <w:t>47,769 ÷ 544,867 x 365</w:t>
            </w:r>
          </w:p>
        </w:tc>
        <w:tc>
          <w:tcPr>
            <w:tcW w:w="9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Calibri" w:hAnsi="Calibri"/>
                <w:sz w:val="22"/>
                <w:szCs w:val="22"/>
              </w:rPr>
            </w:pPr>
            <w:r>
              <w:rPr>
                <w:rFonts w:ascii="Calibri" w:hAnsi="Calibri"/>
                <w:sz w:val="22"/>
                <w:szCs w:val="22"/>
              </w:rPr>
              <w:t>32.0</w:t>
            </w:r>
          </w:p>
        </w:tc>
      </w:tr>
      <w:tr>
        <w:trPr>
          <w:trHeight w:val="227" w:hRule="atLeast"/>
          <w:cantSplit w:val="false"/>
        </w:trPr>
        <w:tc>
          <w:tcPr>
            <w:tcW w:w="255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22"/>
                <w:szCs w:val="22"/>
              </w:rPr>
              <w:t>Cash operating Cycle</w:t>
            </w:r>
          </w:p>
        </w:tc>
        <w:tc>
          <w:tcPr>
            <w:tcW w:w="192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18"/>
                <w:szCs w:val="18"/>
              </w:rPr>
            </w:pPr>
            <w:r>
              <w:rPr>
                <w:rFonts w:ascii="Calibri" w:hAnsi="Calibri"/>
                <w:sz w:val="18"/>
                <w:szCs w:val="18"/>
              </w:rPr>
              <w:t xml:space="preserve">9.26 + 32 – 35 = </w:t>
            </w:r>
          </w:p>
        </w:tc>
        <w:tc>
          <w:tcPr>
            <w:tcW w:w="91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Calibri" w:hAnsi="Calibri"/>
                <w:sz w:val="22"/>
                <w:szCs w:val="22"/>
              </w:rPr>
            </w:pPr>
            <w:r>
              <w:rPr>
                <w:rFonts w:ascii="Calibri" w:hAnsi="Calibri"/>
                <w:sz w:val="22"/>
                <w:szCs w:val="22"/>
              </w:rPr>
              <w:t>6.26</w:t>
            </w:r>
          </w:p>
        </w:tc>
        <w:tc>
          <w:tcPr>
            <w:tcW w:w="19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rPr>
                <w:rFonts w:ascii="Calibri" w:hAnsi="Calibri"/>
                <w:sz w:val="22"/>
                <w:szCs w:val="22"/>
              </w:rPr>
            </w:pPr>
            <w:r>
              <w:rPr>
                <w:rFonts w:ascii="Calibri" w:hAnsi="Calibri"/>
                <w:sz w:val="18"/>
                <w:szCs w:val="18"/>
              </w:rPr>
              <w:t>8.9 + 38 – 32 =</w:t>
            </w:r>
            <w:r>
              <w:rPr>
                <w:rFonts w:ascii="Calibri" w:hAnsi="Calibri"/>
                <w:sz w:val="22"/>
                <w:szCs w:val="22"/>
              </w:rPr>
              <w:t xml:space="preserve"> </w:t>
            </w:r>
          </w:p>
        </w:tc>
        <w:tc>
          <w:tcPr>
            <w:tcW w:w="99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jc w:val="center"/>
              <w:rPr>
                <w:rFonts w:ascii="Calibri" w:hAnsi="Calibri"/>
                <w:sz w:val="22"/>
                <w:szCs w:val="22"/>
              </w:rPr>
            </w:pPr>
            <w:r>
              <w:rPr>
                <w:rFonts w:ascii="Calibri" w:hAnsi="Calibri"/>
                <w:sz w:val="22"/>
                <w:szCs w:val="22"/>
              </w:rPr>
              <w:t>14.9</w:t>
            </w:r>
          </w:p>
        </w:tc>
      </w:tr>
    </w:tbl>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b) The cash operating cycle has reduced considerably between the two years, which means the company is having wait less time to recover cash. This could arguably be the result of tighter financial control, resulting in shorter Debtor Collection period and an extension in credit terms with suppliers.</w:t>
      </w:r>
    </w:p>
    <w:p>
      <w:pPr>
        <w:pStyle w:val="Normal"/>
        <w:rPr>
          <w:rFonts w:ascii="Calibri" w:hAnsi="Calibri"/>
          <w:sz w:val="22"/>
          <w:szCs w:val="22"/>
        </w:rPr>
      </w:pPr>
      <w:r>
        <w:rPr>
          <w:rFonts w:ascii="Calibri" w:hAnsi="Calibri"/>
          <w:sz w:val="22"/>
          <w:szCs w:val="22"/>
        </w:rPr>
      </w:r>
    </w:p>
    <w:p>
      <w:pPr>
        <w:pStyle w:val="Normal"/>
        <w:rPr>
          <w:rFonts w:ascii="Calibri" w:hAnsi="Calibri"/>
          <w:b/>
          <w:sz w:val="22"/>
          <w:szCs w:val="22"/>
        </w:rPr>
      </w:pPr>
      <w:r>
        <w:rPr>
          <w:rFonts w:ascii="Calibri" w:hAnsi="Calibri"/>
          <w:b/>
          <w:sz w:val="22"/>
          <w:szCs w:val="22"/>
        </w:rPr>
        <w:t xml:space="preserve">Question 4 </w:t>
      </w:r>
    </w:p>
    <w:p>
      <w:pPr>
        <w:pStyle w:val="Normal"/>
        <w:rPr>
          <w:rFonts w:ascii="Calibri" w:hAnsi="Calibri"/>
          <w:sz w:val="22"/>
          <w:szCs w:val="22"/>
        </w:rPr>
      </w:pPr>
      <w:r>
        <w:rPr>
          <w:rFonts w:ascii="Calibri" w:hAnsi="Calibri"/>
          <w:sz w:val="22"/>
          <w:szCs w:val="22"/>
        </w:rPr>
        <w:t xml:space="preserve">1 </w:t>
        <w:tab/>
        <w:t>The figures below are extracted from the accounts of four different hotels.</w:t>
      </w:r>
    </w:p>
    <w:p>
      <w:pPr>
        <w:pStyle w:val="Normal"/>
        <w:rPr>
          <w:rFonts w:ascii="Calibri" w:hAnsi="Calibri"/>
          <w:sz w:val="22"/>
          <w:szCs w:val="22"/>
        </w:rPr>
      </w:pPr>
      <w:r>
        <w:rPr>
          <w:rFonts w:ascii="Calibri" w:hAnsi="Calibri"/>
          <w:sz w:val="22"/>
          <w:szCs w:val="22"/>
        </w:rPr>
      </w:r>
    </w:p>
    <w:tbl>
      <w:tblPr>
        <w:jc w:val="center"/>
        <w:tblInd w:w="0"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8" w:type="dxa"/>
          <w:bottom w:w="0" w:type="dxa"/>
          <w:right w:w="108" w:type="dxa"/>
        </w:tblCellMar>
      </w:tblPr>
      <w:tblGrid>
        <w:gridCol w:w="2452"/>
        <w:gridCol w:w="1204"/>
        <w:gridCol w:w="1204"/>
        <w:gridCol w:w="1203"/>
        <w:gridCol w:w="1206"/>
      </w:tblGrid>
      <w:tr>
        <w:trPr>
          <w:trHeight w:val="292" w:hRule="atLeast"/>
          <w:cantSplit w:val="false"/>
        </w:trPr>
        <w:tc>
          <w:tcPr>
            <w:tcW w:w="24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Calibri" w:hAnsi="Calibri"/>
                <w:sz w:val="22"/>
                <w:szCs w:val="22"/>
              </w:rPr>
            </w:pPr>
            <w:r>
              <w:rPr>
                <w:rFonts w:ascii="Calibri" w:hAnsi="Calibri"/>
                <w:sz w:val="22"/>
                <w:szCs w:val="22"/>
              </w:rPr>
              <w:t> </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Calibri" w:hAnsi="Calibri"/>
                <w:sz w:val="22"/>
                <w:szCs w:val="22"/>
              </w:rPr>
            </w:pPr>
            <w:r>
              <w:rPr>
                <w:rFonts w:ascii="Calibri" w:hAnsi="Calibri"/>
                <w:sz w:val="22"/>
                <w:szCs w:val="22"/>
              </w:rPr>
              <w:t>Hotel A</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Calibri" w:hAnsi="Calibri"/>
                <w:sz w:val="22"/>
                <w:szCs w:val="22"/>
              </w:rPr>
            </w:pPr>
            <w:r>
              <w:rPr>
                <w:rFonts w:ascii="Calibri" w:hAnsi="Calibri"/>
                <w:sz w:val="22"/>
                <w:szCs w:val="22"/>
              </w:rPr>
              <w:t>Hotel B</w:t>
            </w:r>
          </w:p>
        </w:tc>
        <w:tc>
          <w:tcPr>
            <w:tcW w:w="12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Calibri" w:hAnsi="Calibri"/>
                <w:sz w:val="22"/>
                <w:szCs w:val="22"/>
              </w:rPr>
            </w:pPr>
            <w:r>
              <w:rPr>
                <w:rFonts w:ascii="Calibri" w:hAnsi="Calibri"/>
                <w:sz w:val="22"/>
                <w:szCs w:val="22"/>
              </w:rPr>
              <w:t>Hotel C</w:t>
            </w:r>
          </w:p>
        </w:tc>
        <w:tc>
          <w:tcPr>
            <w:tcW w:w="120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Calibri" w:hAnsi="Calibri"/>
                <w:sz w:val="22"/>
                <w:szCs w:val="22"/>
              </w:rPr>
            </w:pPr>
            <w:r>
              <w:rPr>
                <w:rFonts w:ascii="Calibri" w:hAnsi="Calibri"/>
                <w:sz w:val="22"/>
                <w:szCs w:val="22"/>
              </w:rPr>
              <w:t>Hotel D</w:t>
            </w:r>
          </w:p>
        </w:tc>
      </w:tr>
      <w:tr>
        <w:trPr>
          <w:trHeight w:val="292" w:hRule="atLeast"/>
          <w:cantSplit w:val="false"/>
        </w:trPr>
        <w:tc>
          <w:tcPr>
            <w:tcW w:w="24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Calibri" w:hAnsi="Calibri"/>
                <w:sz w:val="22"/>
                <w:szCs w:val="22"/>
              </w:rPr>
            </w:pPr>
            <w:r>
              <w:rPr>
                <w:rFonts w:ascii="Calibri" w:hAnsi="Calibri"/>
                <w:sz w:val="22"/>
                <w:szCs w:val="22"/>
              </w:rPr>
              <w:t>Number of rooms</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55</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150</w:t>
            </w:r>
          </w:p>
        </w:tc>
        <w:tc>
          <w:tcPr>
            <w:tcW w:w="12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270</w:t>
            </w:r>
          </w:p>
        </w:tc>
        <w:tc>
          <w:tcPr>
            <w:tcW w:w="120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112</w:t>
            </w:r>
          </w:p>
        </w:tc>
      </w:tr>
      <w:tr>
        <w:trPr>
          <w:trHeight w:val="292" w:hRule="atLeast"/>
          <w:cantSplit w:val="false"/>
        </w:trPr>
        <w:tc>
          <w:tcPr>
            <w:tcW w:w="24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Calibri" w:hAnsi="Calibri"/>
                <w:sz w:val="22"/>
                <w:szCs w:val="22"/>
              </w:rPr>
            </w:pPr>
            <w:r>
              <w:rPr>
                <w:rFonts w:ascii="Calibri" w:hAnsi="Calibri"/>
                <w:sz w:val="22"/>
                <w:szCs w:val="22"/>
              </w:rPr>
              <w:t>Guest capacity</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90</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270</w:t>
            </w:r>
          </w:p>
        </w:tc>
        <w:tc>
          <w:tcPr>
            <w:tcW w:w="12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500</w:t>
            </w:r>
          </w:p>
        </w:tc>
        <w:tc>
          <w:tcPr>
            <w:tcW w:w="120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190</w:t>
            </w:r>
          </w:p>
        </w:tc>
      </w:tr>
      <w:tr>
        <w:trPr>
          <w:trHeight w:val="585" w:hRule="atLeast"/>
          <w:cantSplit w:val="false"/>
        </w:trPr>
        <w:tc>
          <w:tcPr>
            <w:tcW w:w="24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Calibri" w:hAnsi="Calibri"/>
                <w:sz w:val="22"/>
                <w:szCs w:val="22"/>
              </w:rPr>
            </w:pPr>
            <w:r>
              <w:rPr>
                <w:rFonts w:ascii="Calibri" w:hAnsi="Calibri"/>
                <w:sz w:val="22"/>
                <w:szCs w:val="22"/>
              </w:rPr>
              <w:t>Average number of rooms occupied</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41</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90</w:t>
            </w:r>
          </w:p>
        </w:tc>
        <w:tc>
          <w:tcPr>
            <w:tcW w:w="12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210</w:t>
            </w:r>
          </w:p>
        </w:tc>
        <w:tc>
          <w:tcPr>
            <w:tcW w:w="120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100</w:t>
            </w:r>
          </w:p>
        </w:tc>
      </w:tr>
      <w:tr>
        <w:trPr>
          <w:trHeight w:val="585" w:hRule="atLeast"/>
          <w:cantSplit w:val="false"/>
        </w:trPr>
        <w:tc>
          <w:tcPr>
            <w:tcW w:w="24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Calibri" w:hAnsi="Calibri"/>
                <w:sz w:val="22"/>
                <w:szCs w:val="22"/>
              </w:rPr>
            </w:pPr>
            <w:r>
              <w:rPr>
                <w:rFonts w:ascii="Calibri" w:hAnsi="Calibri"/>
                <w:sz w:val="22"/>
                <w:szCs w:val="22"/>
              </w:rPr>
              <w:t>Average bed occupancy (sleepers)</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70</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150</w:t>
            </w:r>
          </w:p>
        </w:tc>
        <w:tc>
          <w:tcPr>
            <w:tcW w:w="12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300</w:t>
            </w:r>
          </w:p>
        </w:tc>
        <w:tc>
          <w:tcPr>
            <w:tcW w:w="120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102</w:t>
            </w:r>
          </w:p>
        </w:tc>
      </w:tr>
      <w:tr>
        <w:trPr>
          <w:trHeight w:val="292" w:hRule="atLeast"/>
          <w:cantSplit w:val="false"/>
        </w:trPr>
        <w:tc>
          <w:tcPr>
            <w:tcW w:w="24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Calibri" w:hAnsi="Calibri"/>
                <w:sz w:val="22"/>
                <w:szCs w:val="22"/>
              </w:rPr>
            </w:pPr>
            <w:r>
              <w:rPr>
                <w:rFonts w:ascii="Calibri" w:hAnsi="Calibri"/>
                <w:sz w:val="22"/>
                <w:szCs w:val="22"/>
              </w:rPr>
              <w:t>Daily Room Sales</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£5,000</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£8,120</w:t>
            </w:r>
          </w:p>
        </w:tc>
        <w:tc>
          <w:tcPr>
            <w:tcW w:w="12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£24,500</w:t>
            </w:r>
          </w:p>
        </w:tc>
        <w:tc>
          <w:tcPr>
            <w:tcW w:w="120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£9,400</w:t>
            </w:r>
          </w:p>
        </w:tc>
      </w:tr>
      <w:tr>
        <w:trPr>
          <w:trHeight w:val="292" w:hRule="atLeast"/>
          <w:cantSplit w:val="false"/>
        </w:trPr>
        <w:tc>
          <w:tcPr>
            <w:tcW w:w="24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rPr>
                <w:rFonts w:ascii="Calibri" w:hAnsi="Calibri"/>
                <w:sz w:val="22"/>
                <w:szCs w:val="22"/>
              </w:rPr>
            </w:pPr>
            <w:r>
              <w:rPr>
                <w:rFonts w:ascii="Calibri" w:hAnsi="Calibri"/>
                <w:sz w:val="22"/>
                <w:szCs w:val="22"/>
              </w:rPr>
              <w:t>Average Rack Rate</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£140</w:t>
            </w:r>
          </w:p>
        </w:tc>
        <w:tc>
          <w:tcPr>
            <w:tcW w:w="120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£132</w:t>
            </w:r>
          </w:p>
        </w:tc>
        <w:tc>
          <w:tcPr>
            <w:tcW w:w="120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£155</w:t>
            </w:r>
          </w:p>
        </w:tc>
        <w:tc>
          <w:tcPr>
            <w:tcW w:w="120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8" w:type="dxa"/>
            </w:tcMar>
          </w:tcPr>
          <w:p>
            <w:pPr>
              <w:pStyle w:val="Normal"/>
              <w:jc w:val="center"/>
              <w:rPr>
                <w:rFonts w:ascii="Calibri" w:hAnsi="Calibri"/>
                <w:sz w:val="22"/>
                <w:szCs w:val="22"/>
              </w:rPr>
            </w:pPr>
            <w:r>
              <w:rPr>
                <w:rFonts w:ascii="Calibri" w:hAnsi="Calibri"/>
                <w:sz w:val="22"/>
                <w:szCs w:val="22"/>
              </w:rPr>
              <w:t>£135</w:t>
            </w:r>
          </w:p>
        </w:tc>
      </w:tr>
    </w:tbl>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Note: all figures are net of VAT and are daily averages for a month’s trading.</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You are required to:</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a) Using the data above, calculate appropriate industry specific ratios (show your workings).</w:t>
      </w:r>
    </w:p>
    <w:p>
      <w:pPr>
        <w:pStyle w:val="Normal"/>
        <w:jc w:val="right"/>
        <w:rPr>
          <w:rFonts w:ascii="Calibri" w:hAnsi="Calibri"/>
          <w:sz w:val="22"/>
          <w:szCs w:val="22"/>
        </w:rPr>
      </w:pPr>
      <w:r>
        <w:rPr>
          <w:rFonts w:ascii="Calibri" w:hAnsi="Calibri"/>
          <w:sz w:val="22"/>
          <w:szCs w:val="22"/>
        </w:rPr>
        <w:tab/>
        <w:t>(16 marks)</w:t>
      </w:r>
    </w:p>
    <w:p>
      <w:pPr>
        <w:pStyle w:val="Normal"/>
        <w:rPr>
          <w:rFonts w:ascii="Calibri" w:hAnsi="Calibri"/>
          <w:sz w:val="22"/>
          <w:szCs w:val="22"/>
        </w:rPr>
      </w:pPr>
      <w:r>
        <w:rPr>
          <w:rFonts w:ascii="Calibri" w:hAnsi="Calibri"/>
          <w:sz w:val="22"/>
          <w:szCs w:val="22"/>
        </w:rPr>
        <w:t>b) Based on the ratios you have calculated in (a), discuss the results.  (9 marks)</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 xml:space="preserve">Reproduce with permission from BAHA STAGE 3 – STRATEGIC MANAGEMENT ACCOUNTING (SMA) JULY 2009 </w:t>
      </w:r>
    </w:p>
    <w:p>
      <w:pPr>
        <w:pStyle w:val="Normal"/>
        <w:rPr>
          <w:rFonts w:ascii="Calibri" w:hAnsi="Calibri"/>
          <w:sz w:val="22"/>
          <w:szCs w:val="22"/>
        </w:rPr>
      </w:pPr>
      <w:r>
        <w:rPr>
          <w:rFonts w:ascii="Calibri" w:hAnsi="Calibri"/>
          <w:sz w:val="22"/>
          <w:szCs w:val="22"/>
        </w:rPr>
      </w:r>
    </w:p>
    <w:p>
      <w:pPr>
        <w:pStyle w:val="Normal"/>
        <w:rPr>
          <w:rFonts w:ascii="Calibri" w:hAnsi="Calibri"/>
          <w:b/>
          <w:color w:val="FF0000"/>
          <w:sz w:val="22"/>
          <w:szCs w:val="22"/>
        </w:rPr>
      </w:pPr>
      <w:r>
        <w:rPr>
          <w:rFonts w:ascii="Calibri" w:hAnsi="Calibri"/>
          <w:b/>
          <w:color w:val="FF0000"/>
          <w:sz w:val="22"/>
          <w:szCs w:val="22"/>
        </w:rPr>
        <w:t xml:space="preserve">Question 4 Answer </w:t>
      </w:r>
    </w:p>
    <w:p>
      <w:pPr>
        <w:pStyle w:val="Normal"/>
        <w:rPr>
          <w:rFonts w:ascii="Calibri" w:hAnsi="Calibri"/>
          <w:color w:val="FF0000"/>
          <w:sz w:val="22"/>
          <w:szCs w:val="22"/>
        </w:rPr>
      </w:pPr>
      <w:r>
        <w:rPr>
          <w:rFonts w:ascii="Calibri" w:hAnsi="Calibri"/>
          <w:color w:val="FF0000"/>
          <w:sz w:val="22"/>
          <w:szCs w:val="22"/>
        </w:rPr>
      </w:r>
    </w:p>
    <w:tbl>
      <w:tblPr>
        <w:jc w:val="left"/>
        <w:tblInd w:w="93"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319"/>
        <w:gridCol w:w="960"/>
        <w:gridCol w:w="960"/>
        <w:gridCol w:w="960"/>
        <w:gridCol w:w="961"/>
      </w:tblGrid>
      <w:tr>
        <w:trPr>
          <w:trHeight w:val="300" w:hRule="atLeast"/>
          <w:cantSplit w:val="false"/>
        </w:trPr>
        <w:tc>
          <w:tcPr>
            <w:tcW w:w="231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rPr>
                <w:rFonts w:ascii="Calibri" w:hAnsi="Calibri"/>
                <w:color w:val="FF0000"/>
                <w:sz w:val="22"/>
                <w:szCs w:val="22"/>
              </w:rPr>
            </w:pPr>
            <w:r>
              <w:rPr>
                <w:rFonts w:ascii="Calibri" w:hAnsi="Calibri"/>
                <w:color w:val="FF0000"/>
                <w:sz w:val="22"/>
                <w:szCs w:val="22"/>
              </w:rPr>
              <w:t> </w:t>
            </w:r>
          </w:p>
        </w:tc>
        <w:tc>
          <w:tcPr>
            <w:tcW w:w="96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ascii="Calibri" w:hAnsi="Calibri"/>
                <w:color w:val="FF0000"/>
                <w:sz w:val="22"/>
                <w:szCs w:val="22"/>
              </w:rPr>
            </w:pPr>
            <w:r>
              <w:rPr>
                <w:rFonts w:ascii="Calibri" w:hAnsi="Calibri"/>
                <w:color w:val="FF0000"/>
                <w:sz w:val="22"/>
                <w:szCs w:val="22"/>
              </w:rPr>
              <w:t>Hotel A</w:t>
            </w:r>
          </w:p>
        </w:tc>
        <w:tc>
          <w:tcPr>
            <w:tcW w:w="96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ascii="Calibri" w:hAnsi="Calibri"/>
                <w:color w:val="FF0000"/>
                <w:sz w:val="22"/>
                <w:szCs w:val="22"/>
              </w:rPr>
            </w:pPr>
            <w:r>
              <w:rPr>
                <w:rFonts w:ascii="Calibri" w:hAnsi="Calibri"/>
                <w:color w:val="FF0000"/>
                <w:sz w:val="22"/>
                <w:szCs w:val="22"/>
              </w:rPr>
              <w:t>Hotel B</w:t>
            </w:r>
          </w:p>
        </w:tc>
        <w:tc>
          <w:tcPr>
            <w:tcW w:w="960"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ascii="Calibri" w:hAnsi="Calibri"/>
                <w:color w:val="FF0000"/>
                <w:sz w:val="22"/>
                <w:szCs w:val="22"/>
              </w:rPr>
            </w:pPr>
            <w:r>
              <w:rPr>
                <w:rFonts w:ascii="Calibri" w:hAnsi="Calibri"/>
                <w:color w:val="FF0000"/>
                <w:sz w:val="22"/>
                <w:szCs w:val="22"/>
              </w:rPr>
              <w:t>Hotel C</w:t>
            </w:r>
          </w:p>
        </w:tc>
        <w:tc>
          <w:tcPr>
            <w:tcW w:w="961" w:type="dxa"/>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tcPr>
          <w:p>
            <w:pPr>
              <w:pStyle w:val="Normal"/>
              <w:rPr>
                <w:rFonts w:ascii="Calibri" w:hAnsi="Calibri"/>
                <w:color w:val="FF0000"/>
                <w:sz w:val="22"/>
                <w:szCs w:val="22"/>
              </w:rPr>
            </w:pPr>
            <w:r>
              <w:rPr>
                <w:rFonts w:ascii="Calibri" w:hAnsi="Calibri"/>
                <w:color w:val="FF0000"/>
                <w:sz w:val="22"/>
                <w:szCs w:val="22"/>
              </w:rPr>
              <w:t>Hotel D</w:t>
            </w:r>
          </w:p>
        </w:tc>
      </w:tr>
      <w:tr>
        <w:trPr>
          <w:trHeight w:val="300" w:hRule="atLeast"/>
          <w:cantSplit w:val="false"/>
        </w:trPr>
        <w:tc>
          <w:tcPr>
            <w:tcW w:w="231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ascii="Calibri" w:hAnsi="Calibri"/>
                <w:color w:val="FF0000"/>
                <w:sz w:val="22"/>
                <w:szCs w:val="22"/>
              </w:rPr>
            </w:pPr>
            <w:r>
              <w:rPr>
                <w:rFonts w:ascii="Calibri" w:hAnsi="Calibri"/>
                <w:color w:val="FF0000"/>
                <w:sz w:val="22"/>
                <w:szCs w:val="22"/>
              </w:rPr>
              <w:t>Average room rate</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£121.95</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£90.22</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£116.67</w:t>
            </w:r>
          </w:p>
        </w:tc>
        <w:tc>
          <w:tcPr>
            <w:tcW w:w="96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£94.00</w:t>
            </w:r>
          </w:p>
        </w:tc>
      </w:tr>
      <w:tr>
        <w:trPr>
          <w:trHeight w:val="300" w:hRule="atLeast"/>
          <w:cantSplit w:val="false"/>
        </w:trPr>
        <w:tc>
          <w:tcPr>
            <w:tcW w:w="231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ascii="Calibri" w:hAnsi="Calibri"/>
                <w:color w:val="FF0000"/>
                <w:sz w:val="22"/>
                <w:szCs w:val="22"/>
              </w:rPr>
            </w:pPr>
            <w:r>
              <w:rPr>
                <w:rFonts w:ascii="Calibri" w:hAnsi="Calibri"/>
                <w:color w:val="FF0000"/>
                <w:sz w:val="22"/>
                <w:szCs w:val="22"/>
              </w:rPr>
              <w:t>Room occupancy %</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75%</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60%</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78%</w:t>
            </w:r>
          </w:p>
        </w:tc>
        <w:tc>
          <w:tcPr>
            <w:tcW w:w="96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89%</w:t>
            </w:r>
          </w:p>
        </w:tc>
      </w:tr>
      <w:tr>
        <w:trPr>
          <w:trHeight w:val="300" w:hRule="atLeast"/>
          <w:cantSplit w:val="false"/>
        </w:trPr>
        <w:tc>
          <w:tcPr>
            <w:tcW w:w="231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ascii="Calibri" w:hAnsi="Calibri"/>
                <w:color w:val="FF0000"/>
                <w:sz w:val="22"/>
                <w:szCs w:val="22"/>
              </w:rPr>
            </w:pPr>
            <w:r>
              <w:rPr>
                <w:rFonts w:ascii="Calibri" w:hAnsi="Calibri"/>
                <w:color w:val="FF0000"/>
                <w:sz w:val="22"/>
                <w:szCs w:val="22"/>
              </w:rPr>
              <w:t>Yield statistic*</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65%</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41%</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59%</w:t>
            </w:r>
          </w:p>
        </w:tc>
        <w:tc>
          <w:tcPr>
            <w:tcW w:w="96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62%</w:t>
            </w:r>
          </w:p>
        </w:tc>
      </w:tr>
      <w:tr>
        <w:trPr>
          <w:trHeight w:val="300" w:hRule="atLeast"/>
          <w:cantSplit w:val="false"/>
        </w:trPr>
        <w:tc>
          <w:tcPr>
            <w:tcW w:w="231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rPr>
                <w:rFonts w:ascii="Calibri" w:hAnsi="Calibri"/>
                <w:color w:val="FF0000"/>
                <w:sz w:val="22"/>
                <w:szCs w:val="22"/>
              </w:rPr>
            </w:pPr>
            <w:r>
              <w:rPr>
                <w:rFonts w:ascii="Calibri" w:hAnsi="Calibri"/>
                <w:color w:val="FF0000"/>
                <w:sz w:val="22"/>
                <w:szCs w:val="22"/>
              </w:rPr>
              <w:t>Sleeper-night ratio</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78%</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56%</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60%</w:t>
            </w:r>
          </w:p>
        </w:tc>
        <w:tc>
          <w:tcPr>
            <w:tcW w:w="96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54%</w:t>
            </w:r>
          </w:p>
        </w:tc>
      </w:tr>
      <w:tr>
        <w:trPr>
          <w:trHeight w:val="300" w:hRule="atLeast"/>
          <w:cantSplit w:val="false"/>
        </w:trPr>
        <w:tc>
          <w:tcPr>
            <w:tcW w:w="2319" w:type="dxa"/>
            <w:tcBorders>
              <w:top w:val="nil"/>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bottom"/>
          </w:tcPr>
          <w:p>
            <w:pPr>
              <w:pStyle w:val="Normal"/>
              <w:rPr>
                <w:rFonts w:ascii="Calibri" w:hAnsi="Calibri"/>
                <w:color w:val="FF0000"/>
                <w:sz w:val="22"/>
                <w:szCs w:val="22"/>
              </w:rPr>
            </w:pPr>
            <w:r>
              <w:rPr>
                <w:rFonts w:ascii="Calibri" w:hAnsi="Calibri"/>
                <w:color w:val="FF0000"/>
                <w:sz w:val="22"/>
                <w:szCs w:val="22"/>
              </w:rPr>
              <w:t>*Potential revenue</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£7,700</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£19,800</w:t>
            </w:r>
          </w:p>
        </w:tc>
        <w:tc>
          <w:tcPr>
            <w:tcW w:w="960"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£41,850</w:t>
            </w:r>
          </w:p>
        </w:tc>
        <w:tc>
          <w:tcPr>
            <w:tcW w:w="961" w:type="dxa"/>
            <w:tcBorders>
              <w:top w:val="nil"/>
              <w:left w:val="nil"/>
              <w:bottom w:val="single" w:sz="4" w:space="0" w:color="00000A"/>
              <w:insideH w:val="single" w:sz="4" w:space="0" w:color="00000A"/>
              <w:right w:val="single" w:sz="4" w:space="0" w:color="00000A"/>
              <w:insideV w:val="single" w:sz="4" w:space="0" w:color="00000A"/>
            </w:tcBorders>
            <w:shd w:fill="FFFFFF" w:val="clear"/>
            <w:vAlign w:val="bottom"/>
          </w:tcPr>
          <w:p>
            <w:pPr>
              <w:pStyle w:val="Normal"/>
              <w:rPr>
                <w:rFonts w:ascii="Calibri" w:hAnsi="Calibri"/>
                <w:color w:val="FF0000"/>
                <w:sz w:val="22"/>
                <w:szCs w:val="22"/>
              </w:rPr>
            </w:pPr>
            <w:r>
              <w:rPr>
                <w:rFonts w:ascii="Calibri" w:hAnsi="Calibri"/>
                <w:color w:val="FF0000"/>
                <w:sz w:val="22"/>
                <w:szCs w:val="22"/>
              </w:rPr>
              <w:t>£15,120</w:t>
            </w:r>
          </w:p>
        </w:tc>
      </w:tr>
    </w:tbl>
    <w:p>
      <w:pPr>
        <w:pStyle w:val="Normal"/>
        <w:rPr>
          <w:rFonts w:ascii="Calibri" w:hAnsi="Calibri"/>
          <w:sz w:val="22"/>
          <w:szCs w:val="22"/>
        </w:rPr>
      </w:pPr>
      <w:r>
        <w:rPr>
          <w:rFonts w:ascii="Calibri" w:hAnsi="Calibri"/>
          <w:sz w:val="22"/>
          <w:szCs w:val="22"/>
        </w:rPr>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embedSystemFonts/>
  <w:defaultTabStop w:val="720"/>
</w:settings>
</file>

<file path=word/styles.xml><?xml version="1.0" encoding="utf-8"?>
<w:styles xmlns:w="http://schemas.openxmlformats.org/wordprocessingml/2006/main">
  <w:docDefaults>
    <w:rPrDefault>
      <w:rPr>
        <w:rFonts w:ascii="Times New Roman" w:hAnsi="Times New Roman" w:eastAsia="Droid Sans Fallback" w:cs="Times New Roman"/>
        <w:lang w:val="en-GB" w:eastAsia="ja-JP" w:bidi="ar-SA"/>
      </w:rPr>
    </w:rPrDefault>
    <w:pPrDefault>
      <w:pPr/>
    </w:pPrDefault>
  </w:docDefaults>
  <w:latentStyles w:count="276"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rsid w:val="00912936"/>
    <w:pPr>
      <w:widowControl/>
      <w:suppressAutoHyphens w:val="true"/>
      <w:bidi w:val="0"/>
      <w:jc w:val="left"/>
    </w:pPr>
    <w:rPr>
      <w:rFonts w:ascii="Times New Roman" w:hAnsi="Times New Roman" w:eastAsia="Droid Sans Fallback" w:cs="Times New Roman"/>
      <w:color w:val="auto"/>
      <w:sz w:val="24"/>
      <w:szCs w:val="24"/>
      <w:lang w:val="en-GB" w:eastAsia="ja-JP" w:bidi="ar-SA"/>
    </w:rPr>
  </w:style>
  <w:style w:type="paragraph" w:styleId="Heading1">
    <w:name w:val="Heading 1"/>
    <w:uiPriority w:val="9"/>
    <w:qFormat/>
    <w:link w:val="Heading1Char"/>
    <w:rsid w:val="00912936"/>
    <w:basedOn w:val="Normal"/>
    <w:next w:val="Normal"/>
    <w:pPr>
      <w:keepNext/>
      <w:keepLines/>
      <w:numPr>
        <w:ilvl w:val="0"/>
        <w:numId w:val="1"/>
      </w:numPr>
      <w:spacing w:before="480" w:after="0"/>
      <w:outlineLvl w:val="0"/>
      <w:outlineLvl w:val="0"/>
    </w:pPr>
    <w:rPr>
      <w:rFonts w:ascii="Calibri" w:hAnsi="Calibri" w:cs=""/>
      <w:b/>
      <w:bCs/>
      <w:color w:val="345A8A"/>
      <w:sz w:val="32"/>
      <w:szCs w:val="32"/>
    </w:rPr>
  </w:style>
  <w:style w:type="paragraph" w:styleId="Heading2">
    <w:name w:val="Heading 2"/>
    <w:uiPriority w:val="9"/>
    <w:qFormat/>
    <w:unhideWhenUsed/>
    <w:link w:val="Heading2Char"/>
    <w:rsid w:val="00912936"/>
    <w:basedOn w:val="Normal"/>
    <w:next w:val="Normal"/>
    <w:pPr>
      <w:keepNext/>
      <w:keepLines/>
      <w:numPr>
        <w:ilvl w:val="1"/>
        <w:numId w:val="1"/>
      </w:numPr>
      <w:spacing w:before="200" w:after="0"/>
      <w:outlineLvl w:val="1"/>
      <w:outlineLvl w:val="1"/>
    </w:pPr>
    <w:rPr>
      <w:rFonts w:ascii="Calibri" w:hAnsi="Calibri" w:cs=""/>
      <w:b/>
      <w:bCs/>
      <w:color w:val="4F81BD"/>
      <w:sz w:val="26"/>
      <w:szCs w:val="26"/>
    </w:rPr>
  </w:style>
  <w:style w:type="paragraph" w:styleId="Heading3">
    <w:name w:val="Heading 3"/>
    <w:uiPriority w:val="9"/>
    <w:qFormat/>
    <w:unhideWhenUsed/>
    <w:link w:val="Heading3Char"/>
    <w:rsid w:val="00912936"/>
    <w:basedOn w:val="Normal"/>
    <w:next w:val="Normal"/>
    <w:pPr>
      <w:keepNext/>
      <w:keepLines/>
      <w:numPr>
        <w:ilvl w:val="2"/>
        <w:numId w:val="1"/>
      </w:numPr>
      <w:spacing w:before="200" w:after="0"/>
      <w:outlineLvl w:val="2"/>
      <w:outlineLvl w:val="2"/>
    </w:pPr>
    <w:rPr>
      <w:rFonts w:ascii="Calibri" w:hAnsi="Calibri" w:cs=""/>
      <w:b/>
      <w:bCs/>
      <w:color w:val="4F81BD"/>
    </w:rPr>
  </w:style>
  <w:style w:type="paragraph" w:styleId="Heading4">
    <w:name w:val="Heading 4"/>
    <w:uiPriority w:val="9"/>
    <w:qFormat/>
    <w:semiHidden/>
    <w:unhideWhenUsed/>
    <w:link w:val="Heading4Char"/>
    <w:rsid w:val="00912936"/>
    <w:basedOn w:val="Normal"/>
    <w:next w:val="Normal"/>
    <w:pPr>
      <w:keepNext/>
      <w:keepLines/>
      <w:numPr>
        <w:ilvl w:val="3"/>
        <w:numId w:val="1"/>
      </w:numPr>
      <w:spacing w:before="200" w:after="0"/>
      <w:outlineLvl w:val="3"/>
      <w:outlineLvl w:val="3"/>
    </w:pPr>
    <w:rPr>
      <w:rFonts w:ascii="Calibri" w:hAnsi="Calibri" w:cs=""/>
      <w:b/>
      <w:bCs/>
      <w:i/>
      <w:iCs/>
      <w:color w:val="4F81BD"/>
    </w:rPr>
  </w:style>
  <w:style w:type="paragraph" w:styleId="Heading5">
    <w:name w:val="Heading 5"/>
    <w:uiPriority w:val="9"/>
    <w:qFormat/>
    <w:semiHidden/>
    <w:unhideWhenUsed/>
    <w:link w:val="Heading5Char"/>
    <w:rsid w:val="00912936"/>
    <w:basedOn w:val="Normal"/>
    <w:next w:val="Normal"/>
    <w:pPr>
      <w:keepNext/>
      <w:keepLines/>
      <w:numPr>
        <w:ilvl w:val="4"/>
        <w:numId w:val="1"/>
      </w:numPr>
      <w:spacing w:before="200" w:after="0"/>
      <w:outlineLvl w:val="4"/>
      <w:outlineLvl w:val="4"/>
    </w:pPr>
    <w:rPr>
      <w:rFonts w:ascii="Calibri" w:hAnsi="Calibri" w:cs=""/>
      <w:color w:val="243F60"/>
    </w:rPr>
  </w:style>
  <w:style w:type="paragraph" w:styleId="Heading6">
    <w:name w:val="Heading 6"/>
    <w:uiPriority w:val="9"/>
    <w:qFormat/>
    <w:semiHidden/>
    <w:unhideWhenUsed/>
    <w:link w:val="Heading6Char"/>
    <w:rsid w:val="00912936"/>
    <w:basedOn w:val="Normal"/>
    <w:next w:val="Normal"/>
    <w:pPr>
      <w:keepNext/>
      <w:keepLines/>
      <w:numPr>
        <w:ilvl w:val="5"/>
        <w:numId w:val="1"/>
      </w:numPr>
      <w:spacing w:before="200" w:after="0"/>
      <w:outlineLvl w:val="5"/>
      <w:outlineLvl w:val="5"/>
    </w:pPr>
    <w:rPr>
      <w:rFonts w:ascii="Calibri" w:hAnsi="Calibri" w:cs=""/>
      <w:i/>
      <w:iCs/>
      <w:color w:val="243F60"/>
    </w:rPr>
  </w:style>
  <w:style w:type="paragraph" w:styleId="Heading7">
    <w:name w:val="Heading 7"/>
    <w:uiPriority w:val="9"/>
    <w:qFormat/>
    <w:semiHidden/>
    <w:unhideWhenUsed/>
    <w:link w:val="Heading7Char"/>
    <w:rsid w:val="00912936"/>
    <w:basedOn w:val="Normal"/>
    <w:next w:val="Normal"/>
    <w:pPr>
      <w:keepNext/>
      <w:keepLines/>
      <w:numPr>
        <w:ilvl w:val="6"/>
        <w:numId w:val="1"/>
      </w:numPr>
      <w:spacing w:before="200" w:after="0"/>
      <w:outlineLvl w:val="6"/>
      <w:outlineLvl w:val="6"/>
    </w:pPr>
    <w:rPr>
      <w:rFonts w:ascii="Calibri" w:hAnsi="Calibri" w:cs=""/>
      <w:i/>
      <w:iCs/>
      <w:color w:val="404040"/>
    </w:rPr>
  </w:style>
  <w:style w:type="paragraph" w:styleId="Heading8">
    <w:name w:val="Heading 8"/>
    <w:uiPriority w:val="9"/>
    <w:qFormat/>
    <w:semiHidden/>
    <w:unhideWhenUsed/>
    <w:link w:val="Heading8Char"/>
    <w:rsid w:val="00912936"/>
    <w:basedOn w:val="Normal"/>
    <w:next w:val="Normal"/>
    <w:pPr>
      <w:keepNext/>
      <w:keepLines/>
      <w:numPr>
        <w:ilvl w:val="7"/>
        <w:numId w:val="1"/>
      </w:numPr>
      <w:spacing w:before="200" w:after="0"/>
      <w:outlineLvl w:val="7"/>
      <w:outlineLvl w:val="7"/>
    </w:pPr>
    <w:rPr>
      <w:rFonts w:ascii="Calibri" w:hAnsi="Calibri" w:cs=""/>
      <w:color w:val="404040"/>
      <w:sz w:val="20"/>
      <w:szCs w:val="20"/>
    </w:rPr>
  </w:style>
  <w:style w:type="paragraph" w:styleId="Heading9">
    <w:name w:val="Heading 9"/>
    <w:uiPriority w:val="9"/>
    <w:qFormat/>
    <w:semiHidden/>
    <w:unhideWhenUsed/>
    <w:link w:val="Heading9Char"/>
    <w:rsid w:val="00912936"/>
    <w:basedOn w:val="Normal"/>
    <w:next w:val="Normal"/>
    <w:pPr>
      <w:keepNext/>
      <w:keepLines/>
      <w:numPr>
        <w:ilvl w:val="8"/>
        <w:numId w:val="1"/>
      </w:numPr>
      <w:spacing w:before="200" w:after="0"/>
      <w:outlineLvl w:val="8"/>
      <w:outlineLvl w:val="8"/>
    </w:pPr>
    <w:rPr>
      <w:rFonts w:ascii="Calibri" w:hAnsi="Calibri" w:cs=""/>
      <w:i/>
      <w:iCs/>
      <w:color w:val="404040"/>
      <w:sz w:val="20"/>
      <w:szCs w:val="20"/>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912936"/>
    <w:basedOn w:val="DefaultParagraphFont"/>
    <w:rPr>
      <w:rFonts w:ascii="Calibri" w:hAnsi="Calibri" w:cs=""/>
      <w:b/>
      <w:bCs/>
      <w:color w:val="345A8A"/>
      <w:sz w:val="32"/>
      <w:szCs w:val="32"/>
    </w:rPr>
  </w:style>
  <w:style w:type="character" w:styleId="Heading2Char" w:customStyle="1">
    <w:name w:val="Heading 2 Char"/>
    <w:uiPriority w:val="9"/>
    <w:link w:val="Heading2"/>
    <w:rsid w:val="00912936"/>
    <w:basedOn w:val="DefaultParagraphFont"/>
    <w:rPr>
      <w:rFonts w:ascii="Calibri" w:hAnsi="Calibri" w:cs=""/>
      <w:b/>
      <w:bCs/>
      <w:color w:val="4F81BD"/>
      <w:sz w:val="26"/>
      <w:szCs w:val="26"/>
    </w:rPr>
  </w:style>
  <w:style w:type="character" w:styleId="Heading3Char" w:customStyle="1">
    <w:name w:val="Heading 3 Char"/>
    <w:uiPriority w:val="9"/>
    <w:link w:val="Heading3"/>
    <w:rsid w:val="00912936"/>
    <w:basedOn w:val="DefaultParagraphFont"/>
    <w:rPr>
      <w:rFonts w:ascii="Calibri" w:hAnsi="Calibri" w:cs=""/>
      <w:b/>
      <w:bCs/>
      <w:color w:val="4F81BD"/>
      <w:sz w:val="24"/>
      <w:szCs w:val="24"/>
    </w:rPr>
  </w:style>
  <w:style w:type="character" w:styleId="Heading4Char" w:customStyle="1">
    <w:name w:val="Heading 4 Char"/>
    <w:uiPriority w:val="9"/>
    <w:semiHidden/>
    <w:link w:val="Heading4"/>
    <w:rsid w:val="00912936"/>
    <w:basedOn w:val="DefaultParagraphFont"/>
    <w:rPr>
      <w:rFonts w:ascii="Calibri" w:hAnsi="Calibri" w:cs=""/>
      <w:b/>
      <w:bCs/>
      <w:i/>
      <w:iCs/>
      <w:color w:val="4F81BD"/>
      <w:sz w:val="24"/>
      <w:szCs w:val="24"/>
    </w:rPr>
  </w:style>
  <w:style w:type="character" w:styleId="Heading5Char" w:customStyle="1">
    <w:name w:val="Heading 5 Char"/>
    <w:uiPriority w:val="9"/>
    <w:semiHidden/>
    <w:link w:val="Heading5"/>
    <w:rsid w:val="00912936"/>
    <w:basedOn w:val="DefaultParagraphFont"/>
    <w:rPr>
      <w:rFonts w:ascii="Calibri" w:hAnsi="Calibri" w:cs=""/>
      <w:color w:val="243F60"/>
      <w:sz w:val="24"/>
      <w:szCs w:val="24"/>
    </w:rPr>
  </w:style>
  <w:style w:type="character" w:styleId="Heading6Char" w:customStyle="1">
    <w:name w:val="Heading 6 Char"/>
    <w:uiPriority w:val="9"/>
    <w:semiHidden/>
    <w:link w:val="Heading6"/>
    <w:rsid w:val="00912936"/>
    <w:basedOn w:val="DefaultParagraphFont"/>
    <w:rPr>
      <w:rFonts w:ascii="Calibri" w:hAnsi="Calibri" w:cs=""/>
      <w:i/>
      <w:iCs/>
      <w:color w:val="243F60"/>
      <w:sz w:val="24"/>
      <w:szCs w:val="24"/>
    </w:rPr>
  </w:style>
  <w:style w:type="character" w:styleId="Heading7Char" w:customStyle="1">
    <w:name w:val="Heading 7 Char"/>
    <w:uiPriority w:val="9"/>
    <w:semiHidden/>
    <w:link w:val="Heading7"/>
    <w:rsid w:val="00912936"/>
    <w:basedOn w:val="DefaultParagraphFont"/>
    <w:rPr>
      <w:rFonts w:ascii="Calibri" w:hAnsi="Calibri" w:cs=""/>
      <w:i/>
      <w:iCs/>
      <w:color w:val="404040"/>
      <w:sz w:val="24"/>
      <w:szCs w:val="24"/>
    </w:rPr>
  </w:style>
  <w:style w:type="character" w:styleId="Heading8Char" w:customStyle="1">
    <w:name w:val="Heading 8 Char"/>
    <w:uiPriority w:val="9"/>
    <w:semiHidden/>
    <w:link w:val="Heading8"/>
    <w:rsid w:val="00912936"/>
    <w:basedOn w:val="DefaultParagraphFont"/>
    <w:rPr>
      <w:rFonts w:ascii="Calibri" w:hAnsi="Calibri" w:cs=""/>
      <w:color w:val="404040"/>
    </w:rPr>
  </w:style>
  <w:style w:type="character" w:styleId="Heading9Char" w:customStyle="1">
    <w:name w:val="Heading 9 Char"/>
    <w:uiPriority w:val="9"/>
    <w:semiHidden/>
    <w:link w:val="Heading9"/>
    <w:rsid w:val="00912936"/>
    <w:basedOn w:val="DefaultParagraphFont"/>
    <w:rPr>
      <w:rFonts w:ascii="Calibri" w:hAnsi="Calibri" w:cs=""/>
      <w:i/>
      <w:iCs/>
      <w:color w:val="40404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8a6e66"/>
    <w:basedOn w:val="Normal"/>
    <w:pPr>
      <w:spacing w:before="0" w:after="0"/>
      <w:ind w:left="720" w:right="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5a25ad"/>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2012-07-09T16:27:00Z</dcterms:created>
  <dc:creator>Helen Atkinson</dc:creator>
  <dc:language>en-GB</dc:language>
  <cp:lastModifiedBy>Helen Atkinson</cp:lastModifiedBy>
  <dcterms:modified xsi:type="dcterms:W3CDTF">2012-07-09T22:00:00Z</dcterms:modified>
  <cp:revision>6</cp:revision>
</cp:coreProperties>
</file>